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57CE7" w:rsidRDefault="00EE2348" w:rsidP="00F57CE7">
      <w:pPr>
        <w:pStyle w:val="Heading2"/>
        <w:jc w:val="left"/>
        <w:rPr>
          <w:rFonts w:eastAsia="Times New Roman"/>
          <w:u w:val="single"/>
        </w:rPr>
      </w:pPr>
      <w:r w:rsidRPr="00F57CE7">
        <w:rPr>
          <w:rFonts w:eastAsia="Times New Roman"/>
          <w:sz w:val="24"/>
        </w:rPr>
        <w:t>Inheritance Vocabulary Review</w:t>
      </w:r>
      <w:r w:rsidR="00F57CE7" w:rsidRPr="00F57CE7">
        <w:rPr>
          <w:rFonts w:eastAsia="Times New Roman"/>
          <w:sz w:val="24"/>
        </w:rPr>
        <w:tab/>
      </w:r>
      <w:r w:rsidR="00F57CE7">
        <w:rPr>
          <w:rFonts w:eastAsia="Times New Roman"/>
        </w:rPr>
        <w:tab/>
      </w:r>
      <w:r w:rsidR="00F57CE7">
        <w:rPr>
          <w:rFonts w:eastAsia="Times New Roman"/>
        </w:rPr>
        <w:tab/>
      </w:r>
      <w:r w:rsidR="00F57CE7">
        <w:rPr>
          <w:rFonts w:eastAsia="Times New Roman"/>
        </w:rPr>
        <w:tab/>
      </w:r>
      <w:r w:rsidR="00F57CE7">
        <w:rPr>
          <w:rFonts w:eastAsia="Times New Roman"/>
        </w:rPr>
        <w:tab/>
      </w:r>
      <w:r w:rsidR="00F57CE7" w:rsidRPr="00F57CE7">
        <w:rPr>
          <w:rFonts w:eastAsia="Times New Roman"/>
          <w:b w:val="0"/>
          <w:sz w:val="20"/>
        </w:rPr>
        <w:t xml:space="preserve">Name </w:t>
      </w:r>
      <w:r w:rsidR="00F57CE7" w:rsidRPr="00F57CE7">
        <w:rPr>
          <w:rFonts w:eastAsia="Times New Roman"/>
          <w:b w:val="0"/>
          <w:sz w:val="20"/>
          <w:u w:val="single"/>
        </w:rPr>
        <w:tab/>
      </w:r>
      <w:r w:rsidR="00F57CE7" w:rsidRPr="00F57CE7">
        <w:rPr>
          <w:rFonts w:eastAsia="Times New Roman"/>
          <w:b w:val="0"/>
          <w:sz w:val="20"/>
          <w:u w:val="single"/>
        </w:rPr>
        <w:tab/>
      </w:r>
      <w:r w:rsidR="00F57CE7" w:rsidRPr="00F57CE7">
        <w:rPr>
          <w:rFonts w:eastAsia="Times New Roman"/>
          <w:b w:val="0"/>
          <w:sz w:val="20"/>
          <w:u w:val="single"/>
        </w:rPr>
        <w:tab/>
      </w:r>
      <w:r w:rsidR="00F57CE7" w:rsidRPr="00F57CE7">
        <w:rPr>
          <w:rFonts w:eastAsia="Times New Roman"/>
          <w:b w:val="0"/>
          <w:sz w:val="20"/>
          <w:u w:val="single"/>
        </w:rPr>
        <w:tab/>
      </w:r>
      <w:r w:rsidR="00F57CE7" w:rsidRPr="00F57CE7">
        <w:rPr>
          <w:rFonts w:eastAsia="Times New Roman"/>
          <w:b w:val="0"/>
          <w:sz w:val="20"/>
          <w:u w:val="single"/>
        </w:rPr>
        <w:tab/>
      </w:r>
      <w:r w:rsidR="00F57CE7" w:rsidRPr="00F57CE7">
        <w:rPr>
          <w:rFonts w:eastAsia="Times New Roman"/>
          <w:b w:val="0"/>
          <w:sz w:val="20"/>
          <w:u w:val="single"/>
        </w:rPr>
        <w:tab/>
      </w:r>
    </w:p>
    <w:tbl>
      <w:tblPr>
        <w:tblW w:w="111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38"/>
        <w:gridCol w:w="338"/>
        <w:gridCol w:w="338"/>
        <w:gridCol w:w="341"/>
        <w:gridCol w:w="338"/>
        <w:gridCol w:w="340"/>
        <w:gridCol w:w="340"/>
        <w:gridCol w:w="338"/>
        <w:gridCol w:w="338"/>
        <w:gridCol w:w="340"/>
        <w:gridCol w:w="338"/>
        <w:gridCol w:w="338"/>
        <w:gridCol w:w="340"/>
        <w:gridCol w:w="338"/>
        <w:gridCol w:w="340"/>
        <w:gridCol w:w="338"/>
        <w:gridCol w:w="338"/>
        <w:gridCol w:w="340"/>
        <w:gridCol w:w="338"/>
        <w:gridCol w:w="338"/>
        <w:gridCol w:w="340"/>
        <w:gridCol w:w="338"/>
        <w:gridCol w:w="338"/>
        <w:gridCol w:w="340"/>
        <w:gridCol w:w="338"/>
        <w:gridCol w:w="338"/>
        <w:gridCol w:w="340"/>
        <w:gridCol w:w="338"/>
        <w:gridCol w:w="340"/>
        <w:gridCol w:w="338"/>
        <w:gridCol w:w="338"/>
      </w:tblGrid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4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5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6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7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8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9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10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11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12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13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14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15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16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17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18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19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20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21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22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23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24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25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26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27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28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29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30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rPr>
                <w:rFonts w:ascii="&amp;quot" w:eastAsia="Times New Roman" w:hAnsi="&amp;quot"/>
                <w:sz w:val="15"/>
                <w:szCs w:val="15"/>
              </w:rPr>
            </w:pPr>
            <w:r>
              <w:rPr>
                <w:rFonts w:ascii="&amp;quot" w:eastAsia="Times New Roman" w:hAnsi="&amp;quot"/>
                <w:sz w:val="15"/>
                <w:szCs w:val="15"/>
              </w:rPr>
              <w:t>31</w:t>
            </w:r>
          </w:p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bookmarkStart w:id="0" w:name="_GoBack"/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bookmarkEnd w:id="0"/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> </w:t>
            </w:r>
            <w:r>
              <w:rPr>
                <w:rFonts w:ascii="&amp;quot" w:eastAsia="Times New Roman" w:hAnsi="&amp;quot"/>
              </w:rPr>
              <w:t xml:space="preserve">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  <w:tr w:rsidR="00F57CE7" w:rsidTr="00F57CE7">
        <w:trPr>
          <w:trHeight w:val="322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EE2348">
            <w:pPr>
              <w:jc w:val="center"/>
              <w:rPr>
                <w:rFonts w:ascii="&amp;quot" w:eastAsia="Times New Roman" w:hAnsi="&amp;quot"/>
              </w:rPr>
            </w:pPr>
            <w:r>
              <w:rPr>
                <w:rFonts w:ascii="&amp;quot" w:eastAsia="Times New Roman" w:hAnsi="&amp;quot"/>
              </w:rPr>
              <w:t xml:space="preserve">  </w:t>
            </w:r>
          </w:p>
        </w:tc>
      </w:tr>
    </w:tbl>
    <w:p w:rsidR="00000000" w:rsidRDefault="00EE2348">
      <w:pPr>
        <w:divId w:val="1909488225"/>
        <w:rPr>
          <w:rFonts w:eastAsia="Times New Roman"/>
          <w:vanish/>
          <w:sz w:val="18"/>
          <w:szCs w:val="18"/>
        </w:rPr>
      </w:pPr>
    </w:p>
    <w:tbl>
      <w:tblPr>
        <w:tblW w:w="5127" w:type="pct"/>
        <w:jc w:val="center"/>
        <w:tblCellSpacing w:w="15" w:type="dxa"/>
        <w:tblCellMar>
          <w:top w:w="150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5"/>
        <w:gridCol w:w="5645"/>
      </w:tblGrid>
      <w:tr w:rsidR="00000000" w:rsidTr="00EE2348">
        <w:trPr>
          <w:divId w:val="1909488225"/>
          <w:trHeight w:val="461"/>
          <w:tblCellSpacing w:w="15" w:type="dxa"/>
          <w:jc w:val="center"/>
        </w:trPr>
        <w:tc>
          <w:tcPr>
            <w:tcW w:w="248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EE2348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lastRenderedPageBreak/>
              <w:t>Across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4.</w:t>
            </w:r>
            <w:r>
              <w:t xml:space="preserve"> </w:t>
            </w:r>
            <w:r>
              <w:t>an organized diagram or map of one person's chromosomes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9.</w:t>
            </w:r>
            <w:r>
              <w:t xml:space="preserve"> A particular piece of genetic information.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11.</w:t>
            </w:r>
            <w:r>
              <w:t xml:space="preserve"> Mr. Yu's first name!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12.</w:t>
            </w:r>
            <w:r>
              <w:t xml:space="preserve"> </w:t>
            </w:r>
            <w:proofErr w:type="gramStart"/>
            <w:r>
              <w:t>the</w:t>
            </w:r>
            <w:proofErr w:type="gramEnd"/>
            <w:r>
              <w:t xml:space="preserve"> phenomenon described as the random organization of homologous chromosome pairs during Meiosis I, where the </w:t>
            </w:r>
            <w:proofErr w:type="spellStart"/>
            <w:r>
              <w:t>alighnment</w:t>
            </w:r>
            <w:proofErr w:type="spellEnd"/>
            <w:r>
              <w:t xml:space="preserve"> of </w:t>
            </w:r>
            <w:r>
              <w:t>one pair does not depend on or affect the alignment of another pair.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16.</w:t>
            </w:r>
            <w:r>
              <w:t xml:space="preserve"> A type of trait that exists on the X-chromosome. It impacts people differently based on gender.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17.</w:t>
            </w:r>
            <w:r>
              <w:t xml:space="preserve"> An observable physical trait. Both genetic and environmental factors can influence </w:t>
            </w:r>
            <w:r>
              <w:t>it.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19.</w:t>
            </w:r>
            <w:r>
              <w:t xml:space="preserve"> A trait that is only expressed in homozygous genotypes and not in heterozygous genotypes.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21.</w:t>
            </w:r>
            <w:r>
              <w:t xml:space="preserve"> A trait that is expressed in homozygous and heterozygous genotypes.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22.</w:t>
            </w:r>
            <w:r>
              <w:t xml:space="preserve"> Two2 chromosomes </w:t>
            </w:r>
            <w:proofErr w:type="gramStart"/>
            <w:r>
              <w:t>that are</w:t>
            </w:r>
            <w:proofErr w:type="gramEnd"/>
            <w:r>
              <w:t xml:space="preserve"> similar in size, shape, and centromere position. These 2</w:t>
            </w:r>
            <w:r>
              <w:t xml:space="preserve"> line up together during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24.</w:t>
            </w:r>
            <w:r>
              <w:t xml:space="preserve"> Having two of the same alleles for a gene.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26.</w:t>
            </w:r>
            <w:r>
              <w:t xml:space="preserve"> The process that allows a chromosome to become duplicated. It occurs early in the process of meiosis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28.</w:t>
            </w:r>
            <w:r>
              <w:t xml:space="preserve"> the structures in males that produce and store sperm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30.</w:t>
            </w:r>
            <w:r>
              <w:t xml:space="preserve"> This type of cell </w:t>
            </w:r>
            <w:r>
              <w:t>is haploid and is the ultimate product of meiosis.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31.</w:t>
            </w:r>
            <w:r>
              <w:t xml:space="preserve"> The molecule in which an individual stores their genetic information.</w:t>
            </w:r>
          </w:p>
        </w:tc>
        <w:tc>
          <w:tcPr>
            <w:tcW w:w="248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0000" w:rsidRDefault="00EE2348">
            <w:pPr>
              <w:spacing w:before="100" w:beforeAutospacing="1" w:after="75"/>
              <w:outlineLvl w:val="5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Down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1.</w:t>
            </w:r>
            <w:r>
              <w:t xml:space="preserve"> the structures in </w:t>
            </w:r>
            <w:proofErr w:type="spellStart"/>
            <w:r>
              <w:t>femles</w:t>
            </w:r>
            <w:proofErr w:type="spellEnd"/>
            <w:r>
              <w:t xml:space="preserve"> that produce and store eggs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2.</w:t>
            </w:r>
            <w:r>
              <w:t xml:space="preserve"> The effect of 2 dominant alleles being expressed in a heterozygou</w:t>
            </w:r>
            <w:r>
              <w:t>s combination.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3.</w:t>
            </w:r>
            <w:r>
              <w:t xml:space="preserve"> The gamete produced by males.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5.</w:t>
            </w:r>
            <w:r>
              <w:t xml:space="preserve"> A tool used to predict offspring genotype probabilities given parent genotype or phenotype information.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6.</w:t>
            </w:r>
            <w:r>
              <w:t xml:space="preserve"> 1 before splitting.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7.</w:t>
            </w:r>
            <w:r>
              <w:t xml:space="preserve"> One of 2 or more possible versions of the same gene.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8.</w:t>
            </w:r>
            <w:r>
              <w:t xml:space="preserve"> The phenomenon that</w:t>
            </w:r>
            <w:r>
              <w:t xml:space="preserve"> occurs when a pair of homologous chromosomes, close in proximity to each other, swap genetic information with each other, resulting in new allele sets on the recombined chromosomes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10.</w:t>
            </w:r>
            <w:r>
              <w:t xml:space="preserve"> The effect of a heterozygous genotype showing a blended phenotype base</w:t>
            </w:r>
            <w:r>
              <w:t>d on the 2 different alleles that coded for it.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13.</w:t>
            </w:r>
            <w:r>
              <w:t xml:space="preserve"> A diagram or map that tracks the inheritance of a trait or disease in a family.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14.</w:t>
            </w:r>
            <w:r>
              <w:t xml:space="preserve"> This describes a cell that has two sets of chromosomes.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15.</w:t>
            </w:r>
            <w:r>
              <w:t xml:space="preserve"> These are what split during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18.</w:t>
            </w:r>
            <w:r>
              <w:t xml:space="preserve"> </w:t>
            </w:r>
            <w:r>
              <w:t>A combination of two or more alleles that determine a particular trait.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20.</w:t>
            </w:r>
            <w:r>
              <w:t xml:space="preserve"> This describes a cell that has one set of chromosomes.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23.</w:t>
            </w:r>
            <w:r>
              <w:t xml:space="preserve"> One of these becomes four unique gametes at the end of meiosis.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25.</w:t>
            </w:r>
            <w:r>
              <w:t xml:space="preserve"> A pair of alleles that are not the same.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27.</w:t>
            </w:r>
            <w:r>
              <w:t xml:space="preserve"> A geneti</w:t>
            </w:r>
            <w:r>
              <w:t xml:space="preserve">c condition in which there are 3 chromosomes where there </w:t>
            </w:r>
            <w:proofErr w:type="spellStart"/>
            <w:r>
              <w:t>shoudl</w:t>
            </w:r>
            <w:proofErr w:type="spellEnd"/>
            <w:r>
              <w:t xml:space="preserve"> be a single pair.</w:t>
            </w:r>
          </w:p>
          <w:p w:rsidR="00000000" w:rsidRDefault="00EE2348">
            <w:pPr>
              <w:spacing w:after="75"/>
            </w:pPr>
            <w:r>
              <w:rPr>
                <w:rStyle w:val="Strong"/>
              </w:rPr>
              <w:t>29.</w:t>
            </w:r>
            <w:r>
              <w:t xml:space="preserve"> The gamete produced by females.</w:t>
            </w:r>
          </w:p>
        </w:tc>
      </w:tr>
    </w:tbl>
    <w:p w:rsidR="00000000" w:rsidRDefault="00EE2348">
      <w:pPr>
        <w:divId w:val="1909488225"/>
        <w:rPr>
          <w:rFonts w:eastAsia="Times New Roman"/>
        </w:rPr>
      </w:pPr>
    </w:p>
    <w:sectPr w:rsidR="00000000" w:rsidSect="00F57C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57CE7"/>
    <w:rsid w:val="00EE2348"/>
    <w:rsid w:val="00F5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rossword">
    <w:name w:val="crossword"/>
    <w:basedOn w:val="Normal"/>
    <w:pPr>
      <w:spacing w:before="150" w:after="150"/>
    </w:pPr>
    <w:rPr>
      <w:rFonts w:ascii="&amp;quot" w:hAnsi="&amp;quot"/>
    </w:rPr>
  </w:style>
  <w:style w:type="paragraph" w:customStyle="1" w:styleId="ms-word">
    <w:name w:val="ms-word"/>
    <w:basedOn w:val="Normal"/>
    <w:pPr>
      <w:spacing w:before="100" w:beforeAutospacing="1" w:after="100" w:afterAutospacing="1"/>
    </w:pPr>
  </w:style>
  <w:style w:type="paragraph" w:customStyle="1" w:styleId="no-border">
    <w:name w:val="no-border"/>
    <w:basedOn w:val="Normal"/>
    <w:pPr>
      <w:spacing w:before="100" w:beforeAutospacing="1" w:after="100" w:afterAutospacing="1"/>
    </w:pPr>
  </w:style>
  <w:style w:type="paragraph" w:customStyle="1" w:styleId="no-border1">
    <w:name w:val="no-border1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Inheritance Vocabulary Review</vt:lpstr>
    </vt:vector>
  </TitlesOfParts>
  <Company>Everett Public Schools</Company>
  <LinksUpToDate>false</LinksUpToDate>
  <CharactersWithSpaces>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Inheritance Vocabulary Review</dc:title>
  <dc:creator>Templora, Sheryl</dc:creator>
  <cp:lastModifiedBy>Templora, Sheryl</cp:lastModifiedBy>
  <cp:revision>3</cp:revision>
  <cp:lastPrinted>2013-12-12T00:16:00Z</cp:lastPrinted>
  <dcterms:created xsi:type="dcterms:W3CDTF">2013-12-12T00:17:00Z</dcterms:created>
  <dcterms:modified xsi:type="dcterms:W3CDTF">2013-12-12T00:17:00Z</dcterms:modified>
</cp:coreProperties>
</file>