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Required Items for 2nd &amp; 3rd: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backpack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thicker than 5 ½”. That is large enough to carry books and folders.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wheels please.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Crayons 24 or 48 pack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(no more than 48)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3 sturdy paper folders with bottom-pockets (no center brads)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3-4 wide-ruled composition notebooks or spiral notebooks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pencil box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box of colored pencils (12-24)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 black Sharpies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extra- fine tip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fine tip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Highlighter Pens- 2 colors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Red pen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12-24 pencils, #2 (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Ticonderoga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brand only, please)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 glue sticks, white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 erasers, oblong “pink”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 box of facial tissue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Unscented baby wipes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Earbuds or earphones (labeled in baggy)</w:t>
      </w: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2nd Grade Only!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$8.00 for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8"/>
                <w:szCs w:val="28"/>
                <w:rtl w:val="0"/>
              </w:rPr>
              <w:t xml:space="preserve">Scholastic News 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8"/>
                <w:szCs w:val="28"/>
                <w:rtl w:val="0"/>
              </w:rPr>
              <w:t xml:space="preserve">Science Spin 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magazine subscriptions (check payable to Cedar Wood) 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We encourage reusing school supplies when possible. Families needing assistance providing these supplies are encouraged to contact our school counselor at 425-385-7710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Revised June 2018</w:t>
      </w:r>
    </w:p>
    <w:sectPr>
      <w:headerReference r:id="rId6" w:type="default"/>
      <w:pgSz w:h="15840" w:w="12240"/>
      <w:pgMar w:bottom="576" w:top="1440" w:left="1440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inline distB="0" distT="0" distL="0" distR="0">
          <wp:extent cx="741267" cy="62198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267" cy="6219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sz w:val="42"/>
        <w:szCs w:val="42"/>
        <w:rtl w:val="0"/>
      </w:rPr>
      <w:t xml:space="preserve">nd and 3rd Grade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sz w:val="42"/>
        <w:szCs w:val="42"/>
        <w:rtl w:val="0"/>
      </w:rPr>
      <w:t xml:space="preserve">HC School Supplies</w:t>
    </w:r>
    <w:r w:rsidDel="00000000" w:rsidR="00000000" w:rsidRPr="00000000">
      <w:rPr>
        <w:b w:val="1"/>
        <w:sz w:val="72"/>
        <w:szCs w:val="72"/>
        <w:rtl w:val="0"/>
      </w:rPr>
      <w:t xml:space="preserve">   </w:t>
    </w:r>
    <w:r w:rsidDel="00000000" w:rsidR="00000000" w:rsidRPr="00000000">
      <w:rPr>
        <w:b w:val="1"/>
        <w:sz w:val="32"/>
        <w:szCs w:val="32"/>
        <w:rtl w:val="0"/>
      </w:rPr>
      <w:t xml:space="preserve">2018-2019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